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3" w:rsidRPr="00AB7913" w:rsidRDefault="00AB7913" w:rsidP="00AB7913">
      <w:pPr>
        <w:spacing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>Правила внутреннего распорядка для получателей социальных услуг</w:t>
      </w:r>
    </w:p>
    <w:p w:rsidR="00AB7913" w:rsidRPr="00AB7913" w:rsidRDefault="00AB7913" w:rsidP="00AB7913">
      <w:pPr>
        <w:spacing w:before="100" w:beforeAutospacing="1"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>Правила внутреннего распорядка для получателей социальных услуг в форме социального обслуживания на дому.</w:t>
      </w:r>
    </w:p>
    <w:p w:rsidR="00AB7913" w:rsidRPr="00AB7913" w:rsidRDefault="00AB7913" w:rsidP="00AB7913">
      <w:pPr>
        <w:spacing w:before="100" w:beforeAutospacing="1"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При получении социальных услуг на дому Получатели социальных услуг обязаны:</w:t>
      </w:r>
    </w:p>
    <w:p w:rsidR="00AB7913" w:rsidRPr="00AB7913" w:rsidRDefault="00AB7913" w:rsidP="00AB7913">
      <w:pPr>
        <w:numPr>
          <w:ilvl w:val="0"/>
          <w:numId w:val="1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Соблюдать сроки и условия договора о предоставлении социальных услуг (далее — договор). Оплачивать социальные услуги в соответствии с договором.</w:t>
      </w:r>
    </w:p>
    <w:p w:rsidR="00AB7913" w:rsidRPr="00AB7913" w:rsidRDefault="00AB7913" w:rsidP="00AB7913">
      <w:pPr>
        <w:numPr>
          <w:ilvl w:val="0"/>
          <w:numId w:val="1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Предоставлять Поставщику социальных услуг сведения и документы, необходимые для предоставления услуг,  а также сведения и документы для расчета среднедушевого дохода для предоставления социальных услуг бесплатно.</w:t>
      </w:r>
    </w:p>
    <w:p w:rsidR="00AB7913" w:rsidRPr="00AB7913" w:rsidRDefault="00AB7913" w:rsidP="00AB7913">
      <w:pPr>
        <w:numPr>
          <w:ilvl w:val="0"/>
          <w:numId w:val="1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Своевременно информировать Поставщика социальных услуг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  бесплатно.</w:t>
      </w:r>
    </w:p>
    <w:p w:rsidR="00AB7913" w:rsidRPr="00AB7913" w:rsidRDefault="00AB7913" w:rsidP="00AB7913">
      <w:pPr>
        <w:numPr>
          <w:ilvl w:val="0"/>
          <w:numId w:val="1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Информировать в письменной форме Поставщика социальных услуг об отказе от получения услуг,  предусмотренных договором.</w:t>
      </w:r>
    </w:p>
    <w:p w:rsidR="00AB7913" w:rsidRPr="00AB7913" w:rsidRDefault="00AB7913" w:rsidP="00AB7913">
      <w:pPr>
        <w:numPr>
          <w:ilvl w:val="0"/>
          <w:numId w:val="1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Соблюдать порядок предоставления социальных услуг на дому.</w:t>
      </w:r>
    </w:p>
    <w:p w:rsidR="00AB7913" w:rsidRPr="00AB7913" w:rsidRDefault="00AB7913" w:rsidP="00AB7913">
      <w:pPr>
        <w:numPr>
          <w:ilvl w:val="0"/>
          <w:numId w:val="1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Относиться к работникам Поставщика социальных услуг (далее — работники), предоставляющим социальные услуги на дому, уважительно и корректно. Не унижать их человеческое достоинство.</w:t>
      </w:r>
    </w:p>
    <w:p w:rsidR="00AB7913" w:rsidRPr="00AB7913" w:rsidRDefault="00AB7913" w:rsidP="00AB7913">
      <w:pPr>
        <w:numPr>
          <w:ilvl w:val="0"/>
          <w:numId w:val="1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Обеспечивать доступ работников в жилые помещения для исполнения ими служебных обязанностей согласно графику обслуживания, а также в случае необходимости посещения работниками в другие дни.</w:t>
      </w:r>
    </w:p>
    <w:p w:rsidR="00AB7913" w:rsidRPr="00AB7913" w:rsidRDefault="00AB7913" w:rsidP="00AB7913">
      <w:pPr>
        <w:numPr>
          <w:ilvl w:val="0"/>
          <w:numId w:val="1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Исключать факторы, угрожающие здоровью и жизни работников, в дни и часы предоставления социальных услуг Получателю социальных услуг запрещается находиться в состоянии алкогольного опьянения,  под воздействием наркотических и психотропных средств.</w:t>
      </w:r>
    </w:p>
    <w:p w:rsidR="00AB7913" w:rsidRPr="00AB7913" w:rsidRDefault="00AB7913" w:rsidP="00AB7913">
      <w:pPr>
        <w:numPr>
          <w:ilvl w:val="0"/>
          <w:numId w:val="1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В случае временного отсутствия в дни обслуживания любым доступным способом поставить в известность Поставщика социальных услуг.</w:t>
      </w:r>
    </w:p>
    <w:p w:rsidR="00AB7913" w:rsidRPr="00AB7913" w:rsidRDefault="00AB7913" w:rsidP="00AB7913">
      <w:pPr>
        <w:numPr>
          <w:ilvl w:val="0"/>
          <w:numId w:val="1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Обеспечивать сохранность ведомостей посещений.</w:t>
      </w:r>
    </w:p>
    <w:p w:rsidR="00AB7913" w:rsidRPr="00AB7913" w:rsidRDefault="00AB7913" w:rsidP="00AB7913">
      <w:pPr>
        <w:numPr>
          <w:ilvl w:val="0"/>
          <w:numId w:val="1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 xml:space="preserve">В случае появления заболеваний, требующих лечения в специализированных учреждениях здравоохранения, незамедлительно поставить в известность </w:t>
      </w:r>
      <w:proofErr w:type="spellStart"/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работников</w:t>
      </w:r>
      <w:proofErr w:type="gramStart"/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.</w:t>
      </w:r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>П</w:t>
      </w:r>
      <w:proofErr w:type="gramEnd"/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>римечание</w:t>
      </w:r>
      <w:proofErr w:type="spellEnd"/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>: В случае нарушения Получателем социальных услуг условий договора о предоставлении социальных услуг в форме социального обслуживания на дому Поставщик социальных услуг имеет право отказать в предоставлении социальных услуг Получателю социальных услуг.</w:t>
      </w:r>
    </w:p>
    <w:p w:rsidR="00AB7913" w:rsidRDefault="00AB7913" w:rsidP="00AB7913">
      <w:pPr>
        <w:spacing w:before="100" w:beforeAutospacing="1"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lang w:val="en-US" w:eastAsia="ru-RU"/>
        </w:rPr>
      </w:pPr>
    </w:p>
    <w:p w:rsidR="00AB7913" w:rsidRDefault="00AB7913" w:rsidP="00AB7913">
      <w:pPr>
        <w:spacing w:before="100" w:beforeAutospacing="1"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lang w:val="en-US" w:eastAsia="ru-RU"/>
        </w:rPr>
      </w:pPr>
    </w:p>
    <w:p w:rsidR="00AB7913" w:rsidRDefault="00AB7913" w:rsidP="00AB7913">
      <w:pPr>
        <w:spacing w:before="100" w:beforeAutospacing="1"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lang w:val="en-US" w:eastAsia="ru-RU"/>
        </w:rPr>
      </w:pPr>
    </w:p>
    <w:p w:rsidR="00AB7913" w:rsidRDefault="00AB7913" w:rsidP="00AB7913">
      <w:pPr>
        <w:spacing w:before="100" w:beforeAutospacing="1"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lang w:val="en-US" w:eastAsia="ru-RU"/>
        </w:rPr>
      </w:pPr>
    </w:p>
    <w:p w:rsidR="00AB7913" w:rsidRDefault="00AB7913" w:rsidP="00AB7913">
      <w:pPr>
        <w:spacing w:before="100" w:beforeAutospacing="1"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lang w:val="en-US" w:eastAsia="ru-RU"/>
        </w:rPr>
      </w:pPr>
    </w:p>
    <w:p w:rsidR="00AB7913" w:rsidRPr="00AB7913" w:rsidRDefault="00AB7913" w:rsidP="00AB7913">
      <w:pPr>
        <w:spacing w:before="100" w:beforeAutospacing="1"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> </w:t>
      </w:r>
    </w:p>
    <w:p w:rsidR="00AB7913" w:rsidRPr="00AB7913" w:rsidRDefault="00AB7913" w:rsidP="00AB7913">
      <w:pPr>
        <w:spacing w:before="100" w:beforeAutospacing="1"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> </w:t>
      </w:r>
    </w:p>
    <w:p w:rsidR="00AB7913" w:rsidRPr="00AB7913" w:rsidRDefault="00AB7913" w:rsidP="00AB7913">
      <w:pPr>
        <w:spacing w:before="100" w:beforeAutospacing="1"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lastRenderedPageBreak/>
        <w:t xml:space="preserve">Правила внутреннего распорядка для получателей социальных услуг в </w:t>
      </w:r>
      <w:proofErr w:type="spellStart"/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>полустационарной</w:t>
      </w:r>
      <w:proofErr w:type="spellEnd"/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 xml:space="preserve"> форме социального обслуживания</w:t>
      </w:r>
    </w:p>
    <w:p w:rsidR="00AB7913" w:rsidRPr="00AB7913" w:rsidRDefault="00AB7913" w:rsidP="00AB7913">
      <w:pPr>
        <w:spacing w:before="100" w:beforeAutospacing="1" w:after="100" w:afterAutospacing="1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 xml:space="preserve">При получении социальных услуг в </w:t>
      </w:r>
      <w:proofErr w:type="spellStart"/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>полустационарной</w:t>
      </w:r>
      <w:proofErr w:type="spellEnd"/>
      <w:r w:rsidRPr="00AB7913">
        <w:rPr>
          <w:rFonts w:ascii="Arial" w:eastAsia="Times New Roman" w:hAnsi="Arial" w:cs="Arial"/>
          <w:bCs/>
          <w:color w:val="353D4F"/>
          <w:sz w:val="19"/>
          <w:lang w:eastAsia="ru-RU"/>
        </w:rPr>
        <w:t xml:space="preserve"> форме Получатели социальных услуг обязаны: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Соблюдать сроки  и условия договора о предоставлении социальных услуг.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Предоставлять Поставщику социальных  услуг сведения и документы, необходимые для предоставления социальных услуг, а также сведения и документы для расчета среднедушевого дохода для предоставления социальных услуг бесплатно.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Своевременно информировать Поставщика социальных услуг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Информировать в письменной форме Поставщика социальных услуг об отказе от получения услуг, предусмотренных договором.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 xml:space="preserve">Соблюдать Порядок предоставления социальных услуг в </w:t>
      </w:r>
      <w:proofErr w:type="spellStart"/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полустационарной</w:t>
      </w:r>
      <w:proofErr w:type="spellEnd"/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 xml:space="preserve"> форме социального обслуживания.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Соблюдать режим работы Поставщика социальных услуг.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Соблюдать в помещениях Поставщика социальных услуг и на его  территории чистоту.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Бережно относиться к оборудованию и инвентарю Поставщика социальных услуг. Пользоваться сменной обувью.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Экономно расходовать воду и электроэнергию.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В дни и часы предоставления социальных услуг запрещается находиться в состоянии алкогольного опьянения, под воздействием наркотических и психотропных веществ.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Уважительно относиться к другим Получателям социальных услуг и работникам Поставщика социальных услуг.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Категорически запрещается проявлять к другим Получателям социальных услуг и работникам Поставщика социальных услуг рукоприкладство, сексуальное домогательство, сквернословие и оскорбления.</w:t>
      </w:r>
    </w:p>
    <w:p w:rsidR="00AB7913" w:rsidRPr="00AB7913" w:rsidRDefault="00AB7913" w:rsidP="00AB7913">
      <w:pPr>
        <w:numPr>
          <w:ilvl w:val="0"/>
          <w:numId w:val="2"/>
        </w:numPr>
        <w:spacing w:before="60" w:after="0" w:line="240" w:lineRule="auto"/>
        <w:ind w:left="240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Исключить курение в помещениях Поставщика социальных услуг и на его  территории.</w:t>
      </w:r>
    </w:p>
    <w:p w:rsidR="00AB7913" w:rsidRPr="00AB7913" w:rsidRDefault="00AB7913" w:rsidP="00AB7913">
      <w:pPr>
        <w:spacing w:before="100" w:beforeAutospacing="1" w:after="96" w:line="384" w:lineRule="atLeast"/>
        <w:ind w:firstLine="384"/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</w:pPr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 xml:space="preserve">Примечание: в случае нарушения Получателем социальных услуг условий договора о предоставлении социальных услуг в </w:t>
      </w:r>
      <w:proofErr w:type="spellStart"/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>полустационарной</w:t>
      </w:r>
      <w:proofErr w:type="spellEnd"/>
      <w:r w:rsidRPr="00AB7913">
        <w:rPr>
          <w:rFonts w:ascii="Arial" w:eastAsia="Times New Roman" w:hAnsi="Arial" w:cs="Arial"/>
          <w:bCs/>
          <w:color w:val="353D4F"/>
          <w:sz w:val="19"/>
          <w:szCs w:val="19"/>
          <w:lang w:eastAsia="ru-RU"/>
        </w:rPr>
        <w:t xml:space="preserve"> форме Поставщик социальных услуг имеет право отказать в предоставлении социальных услуг Получателю социальных услуг.</w:t>
      </w:r>
    </w:p>
    <w:p w:rsidR="00662DBB" w:rsidRPr="00AB7913" w:rsidRDefault="00662DBB"/>
    <w:sectPr w:rsidR="00662DBB" w:rsidRPr="00AB7913" w:rsidSect="0066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3DDB"/>
    <w:multiLevelType w:val="multilevel"/>
    <w:tmpl w:val="3DFE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F1AF9"/>
    <w:multiLevelType w:val="multilevel"/>
    <w:tmpl w:val="E32C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B7913"/>
    <w:rsid w:val="00662DBB"/>
    <w:rsid w:val="00AB7913"/>
    <w:rsid w:val="00ED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913"/>
    <w:rPr>
      <w:b/>
      <w:bCs/>
    </w:rPr>
  </w:style>
  <w:style w:type="paragraph" w:styleId="a4">
    <w:name w:val="Normal (Web)"/>
    <w:basedOn w:val="a"/>
    <w:uiPriority w:val="99"/>
    <w:semiHidden/>
    <w:unhideWhenUsed/>
    <w:rsid w:val="00AB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2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Ераносова</dc:creator>
  <cp:keywords/>
  <dc:description/>
  <cp:lastModifiedBy>Карина Ераносова</cp:lastModifiedBy>
  <cp:revision>2</cp:revision>
  <dcterms:created xsi:type="dcterms:W3CDTF">2016-08-16T12:22:00Z</dcterms:created>
  <dcterms:modified xsi:type="dcterms:W3CDTF">2016-08-16T12:23:00Z</dcterms:modified>
</cp:coreProperties>
</file>